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2" w:rsidRDefault="00582982" w:rsidP="00582982">
      <w:pPr>
        <w:rPr>
          <w:lang w:val="en-US"/>
        </w:rPr>
      </w:pPr>
    </w:p>
    <w:tbl>
      <w:tblPr>
        <w:tblW w:w="5000" w:type="pct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026"/>
      </w:tblGrid>
      <w:tr w:rsidR="00582982" w:rsidTr="00582982">
        <w:tc>
          <w:tcPr>
            <w:tcW w:w="0" w:type="auto"/>
            <w:shd w:val="clear" w:color="auto" w:fill="F3F3F3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58298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3F3F3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8298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3F3F3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82982">
                          <w:tc>
                            <w:tcPr>
                              <w:tcW w:w="0" w:type="auto"/>
                              <w:tcMar>
                                <w:top w:w="195" w:type="dxa"/>
                                <w:left w:w="0" w:type="dxa"/>
                                <w:bottom w:w="195" w:type="dxa"/>
                                <w:right w:w="0" w:type="dxa"/>
                              </w:tcMar>
                              <w:hideMark/>
                            </w:tcPr>
                            <w:p w:rsidR="00582982" w:rsidRDefault="00582982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982" w:rsidRDefault="00582982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82" w:rsidRDefault="00582982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82982" w:rsidRDefault="0058298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000" w:type="dxa"/>
              <w:jc w:val="center"/>
              <w:shd w:val="clear" w:color="auto" w:fill="FEFEFE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582982">
              <w:trPr>
                <w:jc w:val="center"/>
              </w:trPr>
              <w:tc>
                <w:tcPr>
                  <w:tcW w:w="9000" w:type="dxa"/>
                  <w:shd w:val="clear" w:color="auto" w:fill="FEFEFE"/>
                </w:tcPr>
                <w:p w:rsidR="00582982" w:rsidRDefault="00582982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10250" cy="2914650"/>
                        <wp:effectExtent l="19050" t="0" r="0" b="0"/>
                        <wp:docPr id="1" name="Picture 15" descr="cid:image002.png@01D54937.9559B1D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id:image002.png@01D54937.9559B1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0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582982">
                    <w:tc>
                      <w:tcPr>
                        <w:tcW w:w="8460" w:type="dxa"/>
                        <w:tcMar>
                          <w:top w:w="0" w:type="dxa"/>
                          <w:left w:w="240" w:type="dxa"/>
                          <w:bottom w:w="24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40"/>
                          <w:gridCol w:w="6"/>
                        </w:tblGrid>
                        <w:tr w:rsidR="0058298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40"/>
                              </w:tblGrid>
                              <w:tr w:rsidR="0058298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2982" w:rsidRDefault="00582982">
                                    <w:pPr>
                                      <w:spacing w:line="150" w:lineRule="exact"/>
                                      <w:rPr>
                                        <w:rFonts w:ascii="Tahoma" w:hAnsi="Tahoma" w:cs="Tahoma"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40"/>
                              </w:tblGrid>
                              <w:tr w:rsidR="0058298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2982" w:rsidRDefault="00582982">
                                    <w:pPr>
                                      <w:pStyle w:val="NormalWeb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It’s a frequent question: can I use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Commvault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for Office 365 data protection? </w:t>
                                    </w:r>
                                  </w:p>
                                  <w:p w:rsidR="00582982" w:rsidRDefault="00582982">
                                    <w:pPr>
                                      <w:pStyle w:val="NormalWeb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Would you be surprised to learn that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Commvault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can provide broad data protection for Office 365? Not just Exchange mailbox data, but also protection for SharePoint,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OneDrive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Teams and Project data? </w:t>
                                    </w:r>
                                  </w:p>
                                  <w:p w:rsidR="00582982" w:rsidRDefault="00582982">
                                    <w:pPr>
                                      <w:pStyle w:val="NormalWeb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It’s a great time to expand your data protection coverage to include the critical data in your Office 365 implementation. We will call you shortly to share a special offer and to learn more about your current Office 365 data protection challenges. </w:t>
                                    </w:r>
                                  </w:p>
                                  <w:p w:rsidR="00582982" w:rsidRDefault="00582982">
                                    <w:pPr>
                                      <w:pStyle w:val="NormalWeb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In the meantime, we invite you to check out this short blog post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00A0D3"/>
                                          <w:sz w:val="21"/>
                                          <w:szCs w:val="21"/>
                                        </w:rPr>
                                        <w:t>5 Tips for Office 365 Backup and Recovery</w:t>
                                      </w:r>
                                    </w:hyperlink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582982" w:rsidRDefault="00582982">
                                    <w:pPr>
                                      <w:pStyle w:val="NormalWeb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If you would like to talk sooner, please respond to this email or call us at +91 080-26722917, 26722194, 26722413. </w:t>
                                    </w:r>
                                  </w:p>
                                  <w:p w:rsidR="00582982" w:rsidRDefault="00582982">
                                    <w:pPr>
                                      <w:pStyle w:val="NormalWeb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Best regards,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Rabita Software Team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40"/>
                              </w:tblGrid>
                              <w:tr w:rsidR="0058298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2982" w:rsidRDefault="00582982">
                                    <w:pPr>
                                      <w:spacing w:line="150" w:lineRule="exact"/>
                                      <w:rPr>
                                        <w:rFonts w:ascii="Calibri" w:hAnsi="Calibri" w:cs="Calibri"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82982" w:rsidRDefault="00582982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82982" w:rsidRDefault="00582982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982" w:rsidRDefault="00582982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82" w:rsidRDefault="00582982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shd w:val="clear" w:color="auto" w:fill="00384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8"/>
                    <w:gridCol w:w="5358"/>
                  </w:tblGrid>
                  <w:tr w:rsidR="00582982">
                    <w:tc>
                      <w:tcPr>
                        <w:tcW w:w="3665" w:type="dxa"/>
                        <w:shd w:val="clear" w:color="auto" w:fill="00384F"/>
                        <w:tcMar>
                          <w:top w:w="0" w:type="dxa"/>
                          <w:left w:w="240" w:type="dxa"/>
                          <w:bottom w:w="15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8"/>
                        </w:tblGrid>
                        <w:tr w:rsidR="00582982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08"/>
                              </w:tblGrid>
                              <w:tr w:rsidR="0058298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2982" w:rsidRDefault="00582982">
                                    <w:pPr>
                                      <w:spacing w:line="300" w:lineRule="exact"/>
                                      <w:rPr>
                                        <w:rFonts w:ascii="Calibri" w:hAnsi="Calibri" w:cs="Calibri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82982" w:rsidRDefault="00582982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0" cy="866775"/>
                                    <wp:effectExtent l="19050" t="0" r="0" b="0"/>
                                    <wp:docPr id="2" name="Picture 2" descr="cid:image008.jpg@01D5E1B2.24CB9E10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id:image008.jpg@01D5E1B2.24CB9E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2982" w:rsidRDefault="0058298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82982" w:rsidRDefault="00582982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4" w:type="dxa"/>
                        <w:shd w:val="clear" w:color="auto" w:fill="00384F"/>
                        <w:tcMar>
                          <w:top w:w="0" w:type="dxa"/>
                          <w:left w:w="120" w:type="dxa"/>
                          <w:bottom w:w="150" w:type="dxa"/>
                          <w:right w:w="24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8"/>
                        </w:tblGrid>
                        <w:tr w:rsidR="00582982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98"/>
                              </w:tblGrid>
                              <w:tr w:rsidR="0058298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2982" w:rsidRDefault="00582982">
                                    <w:pPr>
                                      <w:spacing w:line="150" w:lineRule="exact"/>
                                      <w:rPr>
                                        <w:rFonts w:ascii="Calibri" w:hAnsi="Calibri" w:cs="Calibri"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82982" w:rsidRDefault="0058298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14"/>
                              </w:tblGrid>
                              <w:tr w:rsidR="005829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10"/>
                                      <w:gridCol w:w="306"/>
                                      <w:gridCol w:w="306"/>
                                      <w:gridCol w:w="780"/>
                                      <w:gridCol w:w="306"/>
                                      <w:gridCol w:w="306"/>
                                    </w:tblGrid>
                                    <w:tr w:rsidR="0058298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982" w:rsidRDefault="00582982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A0D3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3" name="Picture 17" descr="Email Commvault">
                                                  <a:hlinkClick xmlns:a="http://schemas.openxmlformats.org/drawingml/2006/main" r:id="rId1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Email Commvaul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r:link="rId13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982" w:rsidRDefault="00582982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982" w:rsidRDefault="00582982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982" w:rsidRDefault="00582982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A0D3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Picture 18" descr="Commvault Linkedin">
                                                  <a:hlinkClick xmlns:a="http://schemas.openxmlformats.org/drawingml/2006/main" r:id="rId1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Commvault Linkedi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r:link="rId16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982" w:rsidRDefault="00582982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982" w:rsidRDefault="00582982">
                                          <w:pPr>
                                            <w:rPr>
                                              <w:rFonts w:eastAsia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982" w:rsidRDefault="00582982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982" w:rsidRDefault="00582982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582982" w:rsidRDefault="00582982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982">
                    <w:tc>
                      <w:tcPr>
                        <w:tcW w:w="9019" w:type="dxa"/>
                        <w:gridSpan w:val="2"/>
                        <w:shd w:val="clear" w:color="auto" w:fill="F3F3F3"/>
                        <w:tcMar>
                          <w:top w:w="0" w:type="dxa"/>
                          <w:left w:w="0" w:type="dxa"/>
                          <w:bottom w:w="24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6"/>
                        </w:tblGrid>
                        <w:tr w:rsidR="00582982">
                          <w:tc>
                            <w:tcPr>
                              <w:tcW w:w="0" w:type="auto"/>
                            </w:tcPr>
                            <w:p w:rsidR="00582982" w:rsidRDefault="00582982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582982" w:rsidRDefault="00582982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982" w:rsidRDefault="00582982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82982" w:rsidRDefault="0058298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D34F1" w:rsidRDefault="00582982"/>
    <w:sectPr w:rsidR="00AD34F1" w:rsidSect="00AD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982"/>
    <w:rsid w:val="003C0001"/>
    <w:rsid w:val="00582982"/>
    <w:rsid w:val="00A01625"/>
    <w:rsid w:val="00AD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2"/>
    <w:pPr>
      <w:spacing w:after="0" w:line="240" w:lineRule="auto"/>
    </w:pPr>
    <w:rPr>
      <w:rFonts w:ascii="Times New Roman" w:hAnsi="Times New Roman" w:cs="Times New Roman"/>
      <w:color w:val="17365D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9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98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82"/>
    <w:rPr>
      <w:rFonts w:ascii="Tahoma" w:hAnsi="Tahoma" w:cs="Tahoma"/>
      <w:color w:val="17365D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itasoft.com/" TargetMode="External"/><Relationship Id="rId13" Type="http://schemas.openxmlformats.org/officeDocument/2006/relationships/image" Target="cid:image010.png@01D5E1B3.96EEB6C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mvault.com/blogs/2019/july/5-tips-for-office-365-backup-and-recovery?utm_source=email-sales&amp;utm_medium=email&amp;utm_campaign=complete-cloud-office365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11.png@01D5E1B3.96EEB6C0" TargetMode="External"/><Relationship Id="rId1" Type="http://schemas.openxmlformats.org/officeDocument/2006/relationships/styles" Target="styles.xml"/><Relationship Id="rId6" Type="http://schemas.openxmlformats.org/officeDocument/2006/relationships/image" Target="cid:image008.png@01D5E1B3.96EEB6C0" TargetMode="External"/><Relationship Id="rId11" Type="http://schemas.openxmlformats.org/officeDocument/2006/relationships/hyperlink" Target="mailto:sales@rabitasoft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9.jpg@01D5E1B3.96EEB6C0" TargetMode="External"/><Relationship Id="rId4" Type="http://schemas.openxmlformats.org/officeDocument/2006/relationships/hyperlink" Target="https://www.commvault.com/blogs/2019/july/5-tips-for-office-365-backup-and-recovery?utm_source=email-sales&amp;utm_medium=email&amp;utm_campaign=complete-cloud-office365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in/rabita-software-56b8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sjpb_21@yahoo.com</dc:creator>
  <cp:lastModifiedBy>sjpb_21@yahoo.com</cp:lastModifiedBy>
  <cp:revision>1</cp:revision>
  <dcterms:created xsi:type="dcterms:W3CDTF">2020-08-19T18:02:00Z</dcterms:created>
  <dcterms:modified xsi:type="dcterms:W3CDTF">2020-08-19T18:02:00Z</dcterms:modified>
</cp:coreProperties>
</file>